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5A7" w:rsidRPr="00847EB5" w:rsidRDefault="00A735A7" w:rsidP="00A735A7">
      <w:pPr>
        <w:shd w:val="pct12" w:color="auto" w:fill="auto"/>
        <w:spacing w:after="0" w:line="240" w:lineRule="auto"/>
        <w:jc w:val="center"/>
        <w:rPr>
          <w:rFonts w:ascii="Book Antiqua" w:hAnsi="Book Antiqua"/>
          <w:b/>
          <w:sz w:val="17"/>
          <w:szCs w:val="17"/>
        </w:rPr>
      </w:pPr>
      <w:r>
        <w:rPr>
          <w:rFonts w:ascii="Book Antiqua" w:hAnsi="Book Antiqua"/>
          <w:b/>
          <w:sz w:val="17"/>
          <w:szCs w:val="17"/>
        </w:rPr>
        <w:t xml:space="preserve">NOTE CONCERNANT </w:t>
      </w:r>
      <w:r w:rsidRPr="00847EB5">
        <w:rPr>
          <w:rFonts w:ascii="Book Antiqua" w:hAnsi="Book Antiqua"/>
          <w:b/>
          <w:sz w:val="17"/>
          <w:szCs w:val="17"/>
        </w:rPr>
        <w:t>LES MEMOIRES DE RECHERCHE</w:t>
      </w:r>
    </w:p>
    <w:p w:rsidR="00A735A7" w:rsidRPr="00847EB5" w:rsidRDefault="00A735A7" w:rsidP="00A735A7">
      <w:pPr>
        <w:spacing w:after="0" w:line="240" w:lineRule="auto"/>
        <w:jc w:val="center"/>
        <w:rPr>
          <w:rFonts w:ascii="Book Antiqua" w:hAnsi="Book Antiqua"/>
          <w:b/>
          <w:sz w:val="17"/>
          <w:szCs w:val="17"/>
        </w:rPr>
      </w:pPr>
    </w:p>
    <w:p w:rsidR="00A735A7" w:rsidRPr="00847EB5" w:rsidRDefault="00A735A7" w:rsidP="00A735A7">
      <w:pPr>
        <w:pStyle w:val="Default"/>
        <w:ind w:firstLine="708"/>
        <w:jc w:val="both"/>
        <w:rPr>
          <w:rFonts w:cs="Times New Roman"/>
          <w:color w:val="auto"/>
          <w:sz w:val="17"/>
          <w:szCs w:val="17"/>
        </w:rPr>
      </w:pPr>
    </w:p>
    <w:p w:rsidR="00A735A7" w:rsidRPr="00847EB5" w:rsidRDefault="00A735A7" w:rsidP="00A735A7">
      <w:pPr>
        <w:pStyle w:val="Default"/>
        <w:ind w:firstLine="708"/>
        <w:jc w:val="both"/>
        <w:rPr>
          <w:rFonts w:cs="Times New Roman"/>
          <w:color w:val="auto"/>
          <w:sz w:val="17"/>
          <w:szCs w:val="17"/>
        </w:rPr>
      </w:pPr>
      <w:r w:rsidRPr="00847EB5">
        <w:rPr>
          <w:rFonts w:cs="Times New Roman"/>
          <w:b/>
          <w:color w:val="auto"/>
          <w:sz w:val="17"/>
          <w:szCs w:val="17"/>
        </w:rPr>
        <w:t xml:space="preserve">1/ </w:t>
      </w:r>
      <w:r w:rsidRPr="00847EB5">
        <w:rPr>
          <w:rFonts w:cs="Times New Roman"/>
          <w:color w:val="auto"/>
          <w:sz w:val="17"/>
          <w:szCs w:val="17"/>
        </w:rPr>
        <w:t xml:space="preserve">Les étudiants concernés (branche Recherche du M2) rédigeront d’abord un </w:t>
      </w:r>
      <w:r w:rsidRPr="00847EB5">
        <w:rPr>
          <w:rFonts w:cs="Times New Roman"/>
          <w:b/>
          <w:color w:val="auto"/>
          <w:sz w:val="17"/>
          <w:szCs w:val="17"/>
        </w:rPr>
        <w:t>mémoire de recherche</w:t>
      </w:r>
      <w:r w:rsidRPr="00847EB5">
        <w:rPr>
          <w:rFonts w:cs="Times New Roman"/>
          <w:color w:val="auto"/>
          <w:sz w:val="17"/>
          <w:szCs w:val="17"/>
        </w:rPr>
        <w:t xml:space="preserve"> de soixante pages environ lié aux matières enseignées, sous la direction d’un des professeurs en charge de cours ou de séminaires. Il leur est recommandé de soutenir le mémoire lors de la session de juin, ce qui implique le choix définitif d’un sujet dès le tout début de l’année civile.</w:t>
      </w:r>
    </w:p>
    <w:p w:rsidR="00A735A7" w:rsidRPr="00847EB5" w:rsidRDefault="00A735A7" w:rsidP="00A735A7">
      <w:pPr>
        <w:pStyle w:val="Default"/>
        <w:ind w:firstLine="708"/>
        <w:jc w:val="both"/>
        <w:rPr>
          <w:rFonts w:cs="Times New Roman"/>
          <w:color w:val="auto"/>
          <w:sz w:val="17"/>
          <w:szCs w:val="17"/>
        </w:rPr>
      </w:pPr>
    </w:p>
    <w:p w:rsidR="00A735A7" w:rsidRPr="00847EB5" w:rsidRDefault="00A735A7" w:rsidP="00A735A7">
      <w:pPr>
        <w:pStyle w:val="Default"/>
        <w:ind w:firstLine="708"/>
        <w:jc w:val="both"/>
        <w:rPr>
          <w:rFonts w:cs="Times New Roman"/>
          <w:color w:val="auto"/>
          <w:sz w:val="17"/>
          <w:szCs w:val="17"/>
        </w:rPr>
      </w:pPr>
      <w:proofErr w:type="gramStart"/>
      <w:r w:rsidRPr="00847EB5">
        <w:rPr>
          <w:rFonts w:cs="Times New Roman"/>
          <w:b/>
          <w:color w:val="auto"/>
          <w:sz w:val="17"/>
          <w:szCs w:val="17"/>
        </w:rPr>
        <w:t>a</w:t>
      </w:r>
      <w:proofErr w:type="gramEnd"/>
      <w:r w:rsidRPr="00847EB5">
        <w:rPr>
          <w:rFonts w:cs="Times New Roman"/>
          <w:b/>
          <w:color w:val="auto"/>
          <w:sz w:val="17"/>
          <w:szCs w:val="17"/>
        </w:rPr>
        <w:t>/ Les mémoires soutenus au cours des années précédentes</w:t>
      </w:r>
      <w:r w:rsidRPr="00847EB5">
        <w:rPr>
          <w:rFonts w:cs="Times New Roman"/>
          <w:color w:val="auto"/>
          <w:sz w:val="17"/>
          <w:szCs w:val="17"/>
        </w:rPr>
        <w:t xml:space="preserve"> sont disponibles et consultables à la bibliothèque </w:t>
      </w:r>
      <w:bookmarkStart w:id="0" w:name="_GoBack"/>
      <w:r w:rsidRPr="00847EB5">
        <w:rPr>
          <w:rFonts w:cs="Times New Roman"/>
          <w:color w:val="auto"/>
          <w:sz w:val="17"/>
          <w:szCs w:val="17"/>
        </w:rPr>
        <w:t xml:space="preserve">du </w:t>
      </w:r>
      <w:proofErr w:type="spellStart"/>
      <w:r w:rsidRPr="00847EB5">
        <w:rPr>
          <w:rFonts w:cs="Times New Roman"/>
          <w:color w:val="auto"/>
          <w:sz w:val="17"/>
          <w:szCs w:val="17"/>
        </w:rPr>
        <w:t>CRDH</w:t>
      </w:r>
      <w:proofErr w:type="spellEnd"/>
      <w:r w:rsidRPr="00847EB5">
        <w:rPr>
          <w:rFonts w:cs="Times New Roman"/>
          <w:color w:val="auto"/>
          <w:sz w:val="17"/>
          <w:szCs w:val="17"/>
        </w:rPr>
        <w:t>, parmi lesquels dernièrement et à titre d’exemple :</w:t>
      </w:r>
    </w:p>
    <w:bookmarkEnd w:id="0"/>
    <w:p w:rsidR="00A735A7" w:rsidRPr="00847EB5" w:rsidRDefault="00A735A7" w:rsidP="00A735A7">
      <w:pPr>
        <w:pStyle w:val="Default"/>
        <w:ind w:firstLine="708"/>
        <w:jc w:val="both"/>
        <w:rPr>
          <w:rFonts w:cs="Times New Roman"/>
          <w:i/>
          <w:color w:val="auto"/>
          <w:sz w:val="17"/>
          <w:szCs w:val="17"/>
        </w:rPr>
      </w:pPr>
      <w:r w:rsidRPr="00847EB5">
        <w:rPr>
          <w:rFonts w:cs="Times New Roman"/>
          <w:i/>
          <w:color w:val="auto"/>
          <w:sz w:val="17"/>
          <w:szCs w:val="17"/>
        </w:rPr>
        <w:t>L’applicabilité du droit international humanitaire à la cyber-guerre</w:t>
      </w:r>
    </w:p>
    <w:p w:rsidR="00A735A7" w:rsidRPr="00847EB5" w:rsidRDefault="00A735A7" w:rsidP="00A735A7">
      <w:pPr>
        <w:pStyle w:val="Default"/>
        <w:ind w:firstLine="708"/>
        <w:jc w:val="both"/>
        <w:rPr>
          <w:rFonts w:cs="Times New Roman"/>
          <w:i/>
          <w:color w:val="auto"/>
          <w:sz w:val="17"/>
          <w:szCs w:val="17"/>
        </w:rPr>
      </w:pPr>
      <w:r w:rsidRPr="00847EB5">
        <w:rPr>
          <w:rFonts w:cs="Times New Roman"/>
          <w:i/>
          <w:color w:val="auto"/>
          <w:sz w:val="17"/>
          <w:szCs w:val="17"/>
        </w:rPr>
        <w:t>La saisine de la CPI par le Conseil de Sécurité : quels effets juridiques pour les Etats ?</w:t>
      </w:r>
    </w:p>
    <w:p w:rsidR="00A735A7" w:rsidRPr="00847EB5" w:rsidRDefault="00A735A7" w:rsidP="00A735A7">
      <w:pPr>
        <w:pStyle w:val="Default"/>
        <w:ind w:firstLine="708"/>
        <w:jc w:val="both"/>
        <w:rPr>
          <w:rFonts w:cs="Times New Roman"/>
          <w:i/>
          <w:color w:val="auto"/>
          <w:sz w:val="17"/>
          <w:szCs w:val="17"/>
        </w:rPr>
      </w:pPr>
      <w:r w:rsidRPr="00847EB5">
        <w:rPr>
          <w:rFonts w:cs="Times New Roman"/>
          <w:i/>
          <w:color w:val="auto"/>
          <w:sz w:val="17"/>
          <w:szCs w:val="17"/>
        </w:rPr>
        <w:t xml:space="preserve">L’élargissement du concept de </w:t>
      </w:r>
      <w:proofErr w:type="gramStart"/>
      <w:r w:rsidRPr="00847EB5">
        <w:rPr>
          <w:rFonts w:cs="Times New Roman"/>
          <w:i/>
          <w:color w:val="auto"/>
          <w:sz w:val="17"/>
          <w:szCs w:val="17"/>
        </w:rPr>
        <w:t>réfugié</w:t>
      </w:r>
      <w:proofErr w:type="gramEnd"/>
      <w:r w:rsidRPr="00847EB5">
        <w:rPr>
          <w:rFonts w:cs="Times New Roman"/>
          <w:i/>
          <w:color w:val="auto"/>
          <w:sz w:val="17"/>
          <w:szCs w:val="17"/>
        </w:rPr>
        <w:t xml:space="preserve"> dans la question haïtienne au Brésil</w:t>
      </w:r>
    </w:p>
    <w:p w:rsidR="00A735A7" w:rsidRPr="00847EB5" w:rsidRDefault="00A735A7" w:rsidP="00A735A7">
      <w:pPr>
        <w:pStyle w:val="Default"/>
        <w:ind w:firstLine="708"/>
        <w:jc w:val="both"/>
        <w:rPr>
          <w:rFonts w:cs="Times New Roman"/>
          <w:i/>
          <w:color w:val="auto"/>
          <w:sz w:val="17"/>
          <w:szCs w:val="17"/>
        </w:rPr>
      </w:pPr>
      <w:r w:rsidRPr="00847EB5">
        <w:rPr>
          <w:rFonts w:cs="Times New Roman"/>
          <w:i/>
          <w:color w:val="auto"/>
          <w:sz w:val="17"/>
          <w:szCs w:val="17"/>
        </w:rPr>
        <w:t>Les plaintes individuelles dans le système africain de la protection des droits de l’homme</w:t>
      </w:r>
    </w:p>
    <w:p w:rsidR="00A735A7" w:rsidRPr="00847EB5" w:rsidRDefault="00A735A7" w:rsidP="00A735A7">
      <w:pPr>
        <w:pStyle w:val="Default"/>
        <w:ind w:firstLine="708"/>
        <w:jc w:val="both"/>
        <w:rPr>
          <w:rFonts w:cs="Times New Roman"/>
          <w:i/>
          <w:color w:val="auto"/>
          <w:sz w:val="17"/>
          <w:szCs w:val="17"/>
        </w:rPr>
      </w:pPr>
      <w:r w:rsidRPr="00847EB5">
        <w:rPr>
          <w:rFonts w:cs="Times New Roman"/>
          <w:i/>
          <w:color w:val="auto"/>
          <w:sz w:val="17"/>
          <w:szCs w:val="17"/>
        </w:rPr>
        <w:t xml:space="preserve">Enjeux juridiques de la juridiction extraterritoriale concernant les entreprises transnationales en France et aux </w:t>
      </w:r>
      <w:r>
        <w:rPr>
          <w:rFonts w:cs="Times New Roman"/>
          <w:i/>
          <w:color w:val="auto"/>
          <w:sz w:val="17"/>
          <w:szCs w:val="17"/>
        </w:rPr>
        <w:t>EU</w:t>
      </w:r>
    </w:p>
    <w:p w:rsidR="00A735A7" w:rsidRPr="00847EB5" w:rsidRDefault="00A735A7" w:rsidP="00A735A7">
      <w:pPr>
        <w:pStyle w:val="Default"/>
        <w:ind w:firstLine="708"/>
        <w:jc w:val="both"/>
        <w:rPr>
          <w:rFonts w:cs="Times New Roman"/>
          <w:i/>
          <w:color w:val="auto"/>
          <w:sz w:val="17"/>
          <w:szCs w:val="17"/>
        </w:rPr>
      </w:pPr>
      <w:r w:rsidRPr="00847EB5">
        <w:rPr>
          <w:rFonts w:cs="Times New Roman"/>
          <w:i/>
          <w:color w:val="auto"/>
          <w:sz w:val="17"/>
          <w:szCs w:val="17"/>
        </w:rPr>
        <w:t>La Chine et le droit international des droits de l’homme</w:t>
      </w:r>
    </w:p>
    <w:p w:rsidR="00A735A7" w:rsidRPr="00847EB5" w:rsidRDefault="00A735A7" w:rsidP="00A735A7">
      <w:pPr>
        <w:pStyle w:val="Default"/>
        <w:ind w:firstLine="708"/>
        <w:jc w:val="both"/>
        <w:rPr>
          <w:rFonts w:cs="Times New Roman"/>
          <w:i/>
          <w:color w:val="auto"/>
          <w:sz w:val="17"/>
          <w:szCs w:val="17"/>
        </w:rPr>
      </w:pPr>
      <w:r w:rsidRPr="00847EB5">
        <w:rPr>
          <w:rFonts w:cs="Times New Roman"/>
          <w:i/>
          <w:color w:val="auto"/>
          <w:sz w:val="17"/>
          <w:szCs w:val="17"/>
        </w:rPr>
        <w:t>Les communications individuelles devant le comité pour l’élimination de la discrimination à l’égard des femmes</w:t>
      </w:r>
    </w:p>
    <w:p w:rsidR="00A735A7" w:rsidRPr="00847EB5" w:rsidRDefault="00A735A7" w:rsidP="00A735A7">
      <w:pPr>
        <w:pStyle w:val="Default"/>
        <w:ind w:firstLine="708"/>
        <w:jc w:val="both"/>
        <w:rPr>
          <w:rFonts w:cs="Times New Roman"/>
          <w:i/>
          <w:color w:val="auto"/>
          <w:sz w:val="17"/>
          <w:szCs w:val="17"/>
        </w:rPr>
      </w:pPr>
      <w:r w:rsidRPr="00847EB5">
        <w:rPr>
          <w:rFonts w:cs="Times New Roman"/>
          <w:i/>
          <w:color w:val="auto"/>
          <w:sz w:val="17"/>
          <w:szCs w:val="17"/>
        </w:rPr>
        <w:t xml:space="preserve">Les suites juridiques du rapport </w:t>
      </w:r>
      <w:proofErr w:type="spellStart"/>
      <w:r w:rsidRPr="00847EB5">
        <w:rPr>
          <w:rFonts w:cs="Times New Roman"/>
          <w:i/>
          <w:color w:val="auto"/>
          <w:sz w:val="17"/>
          <w:szCs w:val="17"/>
        </w:rPr>
        <w:t>Goldstone</w:t>
      </w:r>
      <w:proofErr w:type="spellEnd"/>
    </w:p>
    <w:p w:rsidR="00A735A7" w:rsidRPr="00847EB5" w:rsidRDefault="00A735A7" w:rsidP="00A735A7">
      <w:pPr>
        <w:pStyle w:val="Default"/>
        <w:ind w:firstLine="708"/>
        <w:jc w:val="both"/>
        <w:rPr>
          <w:rFonts w:cs="Times New Roman"/>
          <w:i/>
          <w:color w:val="auto"/>
          <w:sz w:val="17"/>
          <w:szCs w:val="17"/>
        </w:rPr>
      </w:pPr>
      <w:r w:rsidRPr="00847EB5">
        <w:rPr>
          <w:rFonts w:cs="Times New Roman"/>
          <w:i/>
          <w:color w:val="auto"/>
          <w:sz w:val="17"/>
          <w:szCs w:val="17"/>
        </w:rPr>
        <w:t>L’expérience espagnole dans la poursuite des crimes contre l’humanité</w:t>
      </w:r>
    </w:p>
    <w:p w:rsidR="00A735A7" w:rsidRPr="00847EB5" w:rsidRDefault="00A735A7" w:rsidP="00A735A7">
      <w:pPr>
        <w:pStyle w:val="Default"/>
        <w:ind w:firstLine="708"/>
        <w:jc w:val="both"/>
        <w:rPr>
          <w:rFonts w:cs="Times New Roman"/>
          <w:i/>
          <w:color w:val="auto"/>
          <w:sz w:val="17"/>
          <w:szCs w:val="17"/>
        </w:rPr>
      </w:pPr>
      <w:r w:rsidRPr="00847EB5">
        <w:rPr>
          <w:rFonts w:cs="Times New Roman"/>
          <w:i/>
          <w:color w:val="auto"/>
          <w:sz w:val="17"/>
          <w:szCs w:val="17"/>
        </w:rPr>
        <w:t>La représentation légale des victimes devant la CPI</w:t>
      </w:r>
    </w:p>
    <w:p w:rsidR="00A735A7" w:rsidRPr="00847EB5" w:rsidRDefault="00A735A7" w:rsidP="00A735A7">
      <w:pPr>
        <w:pStyle w:val="Default"/>
        <w:ind w:firstLine="708"/>
        <w:jc w:val="both"/>
        <w:rPr>
          <w:rFonts w:cs="Times New Roman"/>
          <w:i/>
          <w:color w:val="auto"/>
          <w:sz w:val="17"/>
          <w:szCs w:val="17"/>
        </w:rPr>
      </w:pPr>
      <w:r w:rsidRPr="00847EB5">
        <w:rPr>
          <w:rFonts w:cs="Times New Roman"/>
          <w:i/>
          <w:color w:val="auto"/>
          <w:sz w:val="17"/>
          <w:szCs w:val="17"/>
        </w:rPr>
        <w:t>Nature et portée des observations générales du groupe de travail sur les disparitions forcées</w:t>
      </w:r>
    </w:p>
    <w:p w:rsidR="00A735A7" w:rsidRPr="00847EB5" w:rsidRDefault="00A735A7" w:rsidP="00A735A7">
      <w:pPr>
        <w:pStyle w:val="Default"/>
        <w:ind w:firstLine="708"/>
        <w:jc w:val="both"/>
        <w:rPr>
          <w:rFonts w:cs="Times New Roman"/>
          <w:i/>
          <w:color w:val="auto"/>
          <w:sz w:val="17"/>
          <w:szCs w:val="17"/>
        </w:rPr>
      </w:pPr>
      <w:r w:rsidRPr="00847EB5">
        <w:rPr>
          <w:rFonts w:cs="Times New Roman"/>
          <w:i/>
          <w:color w:val="auto"/>
          <w:sz w:val="17"/>
          <w:szCs w:val="17"/>
        </w:rPr>
        <w:t xml:space="preserve">La responsabilité du fait des violations des droits de l’homme dans le cadre des opérations de l’agence </w:t>
      </w:r>
      <w:proofErr w:type="spellStart"/>
      <w:r w:rsidRPr="00847EB5">
        <w:rPr>
          <w:rFonts w:cs="Times New Roman"/>
          <w:i/>
          <w:color w:val="auto"/>
          <w:sz w:val="17"/>
          <w:szCs w:val="17"/>
        </w:rPr>
        <w:t>FRONTEX</w:t>
      </w:r>
      <w:proofErr w:type="spellEnd"/>
    </w:p>
    <w:p w:rsidR="00A735A7" w:rsidRPr="00847EB5" w:rsidRDefault="00A735A7" w:rsidP="00A735A7">
      <w:pPr>
        <w:pStyle w:val="Default"/>
        <w:ind w:firstLine="708"/>
        <w:jc w:val="both"/>
        <w:rPr>
          <w:rFonts w:cs="Times New Roman"/>
          <w:color w:val="auto"/>
          <w:sz w:val="17"/>
          <w:szCs w:val="17"/>
        </w:rPr>
      </w:pPr>
    </w:p>
    <w:p w:rsidR="00A735A7" w:rsidRPr="00847EB5" w:rsidRDefault="00A735A7" w:rsidP="00A735A7">
      <w:pPr>
        <w:spacing w:after="0" w:line="240" w:lineRule="auto"/>
        <w:ind w:firstLine="708"/>
        <w:jc w:val="both"/>
        <w:rPr>
          <w:rFonts w:ascii="Book Antiqua" w:hAnsi="Book Antiqua"/>
          <w:sz w:val="17"/>
          <w:szCs w:val="17"/>
        </w:rPr>
      </w:pPr>
      <w:proofErr w:type="gramStart"/>
      <w:r w:rsidRPr="00847EB5">
        <w:rPr>
          <w:rFonts w:ascii="Book Antiqua" w:hAnsi="Book Antiqua"/>
          <w:b/>
          <w:sz w:val="17"/>
          <w:szCs w:val="17"/>
        </w:rPr>
        <w:t>b</w:t>
      </w:r>
      <w:proofErr w:type="gramEnd"/>
      <w:r w:rsidRPr="00847EB5">
        <w:rPr>
          <w:rFonts w:ascii="Book Antiqua" w:hAnsi="Book Antiqua"/>
          <w:b/>
          <w:sz w:val="17"/>
          <w:szCs w:val="17"/>
        </w:rPr>
        <w:t xml:space="preserve">/ </w:t>
      </w:r>
      <w:r w:rsidRPr="00847EB5">
        <w:rPr>
          <w:rFonts w:ascii="Book Antiqua" w:hAnsi="Book Antiqua"/>
          <w:sz w:val="17"/>
          <w:szCs w:val="17"/>
        </w:rPr>
        <w:t xml:space="preserve">Concernant la </w:t>
      </w:r>
      <w:r w:rsidRPr="00847EB5">
        <w:rPr>
          <w:rFonts w:ascii="Book Antiqua" w:hAnsi="Book Antiqua"/>
          <w:b/>
          <w:sz w:val="17"/>
          <w:szCs w:val="17"/>
        </w:rPr>
        <w:t>méthodologie</w:t>
      </w:r>
      <w:r w:rsidRPr="00847EB5">
        <w:rPr>
          <w:rFonts w:ascii="Book Antiqua" w:hAnsi="Book Antiqua"/>
          <w:sz w:val="17"/>
          <w:szCs w:val="17"/>
        </w:rPr>
        <w:t xml:space="preserve"> de l’exercice, on recommande fortement aux étudiants concernés la lecture des ouvrages suivants, disponibles à la bibliothèque du </w:t>
      </w:r>
      <w:proofErr w:type="spellStart"/>
      <w:r w:rsidRPr="00847EB5">
        <w:rPr>
          <w:rFonts w:ascii="Book Antiqua" w:hAnsi="Book Antiqua"/>
          <w:sz w:val="17"/>
          <w:szCs w:val="17"/>
        </w:rPr>
        <w:t>CRDH</w:t>
      </w:r>
      <w:proofErr w:type="spellEnd"/>
      <w:r w:rsidRPr="00847EB5">
        <w:rPr>
          <w:rFonts w:ascii="Book Antiqua" w:hAnsi="Book Antiqua"/>
          <w:sz w:val="17"/>
          <w:szCs w:val="17"/>
        </w:rPr>
        <w:t> :</w:t>
      </w:r>
    </w:p>
    <w:p w:rsidR="00A735A7" w:rsidRPr="00847EB5" w:rsidRDefault="00A735A7" w:rsidP="00A735A7">
      <w:pPr>
        <w:spacing w:after="0" w:line="240" w:lineRule="auto"/>
        <w:ind w:firstLine="708"/>
        <w:jc w:val="both"/>
        <w:rPr>
          <w:rFonts w:ascii="Book Antiqua" w:hAnsi="Book Antiqua"/>
          <w:sz w:val="17"/>
          <w:szCs w:val="17"/>
        </w:rPr>
      </w:pPr>
    </w:p>
    <w:p w:rsidR="00A735A7" w:rsidRPr="00847EB5" w:rsidRDefault="00A735A7" w:rsidP="00A735A7">
      <w:pPr>
        <w:pStyle w:val="Paragraphedeliste"/>
        <w:numPr>
          <w:ilvl w:val="0"/>
          <w:numId w:val="1"/>
        </w:numPr>
        <w:ind w:left="0"/>
        <w:jc w:val="both"/>
        <w:rPr>
          <w:rFonts w:ascii="Book Antiqua" w:hAnsi="Book Antiqua"/>
          <w:sz w:val="17"/>
          <w:szCs w:val="17"/>
        </w:rPr>
      </w:pPr>
      <w:r w:rsidRPr="00847EB5">
        <w:rPr>
          <w:rFonts w:ascii="Book Antiqua" w:hAnsi="Book Antiqua"/>
          <w:sz w:val="17"/>
          <w:szCs w:val="17"/>
        </w:rPr>
        <w:t xml:space="preserve">Michel BEAUD, </w:t>
      </w:r>
      <w:r w:rsidRPr="00847EB5">
        <w:rPr>
          <w:rStyle w:val="Accentuation"/>
          <w:rFonts w:ascii="Book Antiqua" w:hAnsi="Book Antiqua"/>
          <w:sz w:val="17"/>
          <w:szCs w:val="17"/>
        </w:rPr>
        <w:t>L’art de la thèse: comment préparer et rédiger un mémoire de master, une thèse de doctorat ou tout autre travail universitaire à l’ère du net</w:t>
      </w:r>
      <w:r w:rsidRPr="00847EB5">
        <w:rPr>
          <w:rFonts w:ascii="Book Antiqua" w:hAnsi="Book Antiqua"/>
          <w:sz w:val="17"/>
          <w:szCs w:val="17"/>
        </w:rPr>
        <w:t>, La Découverte, 2005 ;</w:t>
      </w:r>
    </w:p>
    <w:p w:rsidR="00A735A7" w:rsidRPr="00847EB5" w:rsidRDefault="00A735A7" w:rsidP="00A735A7">
      <w:pPr>
        <w:pStyle w:val="Paragraphedeliste"/>
        <w:numPr>
          <w:ilvl w:val="0"/>
          <w:numId w:val="1"/>
        </w:numPr>
        <w:ind w:left="0"/>
        <w:jc w:val="both"/>
        <w:rPr>
          <w:rFonts w:ascii="Book Antiqua" w:hAnsi="Book Antiqua"/>
          <w:sz w:val="17"/>
          <w:szCs w:val="17"/>
        </w:rPr>
      </w:pPr>
      <w:r w:rsidRPr="00847EB5">
        <w:rPr>
          <w:rFonts w:ascii="Book Antiqua" w:hAnsi="Book Antiqua"/>
          <w:sz w:val="17"/>
          <w:szCs w:val="17"/>
        </w:rPr>
        <w:t xml:space="preserve">Olivier </w:t>
      </w:r>
      <w:proofErr w:type="spellStart"/>
      <w:r w:rsidRPr="00847EB5">
        <w:rPr>
          <w:rFonts w:ascii="Book Antiqua" w:hAnsi="Book Antiqua"/>
          <w:sz w:val="17"/>
          <w:szCs w:val="17"/>
        </w:rPr>
        <w:t>CORTEN</w:t>
      </w:r>
      <w:proofErr w:type="spellEnd"/>
      <w:r w:rsidRPr="00847EB5">
        <w:rPr>
          <w:rFonts w:ascii="Book Antiqua" w:hAnsi="Book Antiqua"/>
          <w:sz w:val="17"/>
          <w:szCs w:val="17"/>
        </w:rPr>
        <w:t xml:space="preserve">, </w:t>
      </w:r>
      <w:r w:rsidRPr="00847EB5">
        <w:rPr>
          <w:rStyle w:val="Accentuation"/>
          <w:rFonts w:ascii="Book Antiqua" w:hAnsi="Book Antiqua"/>
          <w:sz w:val="17"/>
          <w:szCs w:val="17"/>
        </w:rPr>
        <w:t xml:space="preserve">Méthodologie du droit international public, </w:t>
      </w:r>
      <w:r w:rsidRPr="00847EB5">
        <w:rPr>
          <w:rFonts w:ascii="Book Antiqua" w:hAnsi="Book Antiqua"/>
          <w:sz w:val="17"/>
          <w:szCs w:val="17"/>
        </w:rPr>
        <w:t>éditions de l’Université libre de Bruxelles, 2009 ;</w:t>
      </w:r>
    </w:p>
    <w:p w:rsidR="00A735A7" w:rsidRPr="00847EB5" w:rsidRDefault="00A735A7" w:rsidP="00A735A7">
      <w:pPr>
        <w:pStyle w:val="Paragraphedeliste"/>
        <w:numPr>
          <w:ilvl w:val="0"/>
          <w:numId w:val="1"/>
        </w:numPr>
        <w:ind w:left="0"/>
        <w:jc w:val="both"/>
        <w:rPr>
          <w:rFonts w:ascii="Book Antiqua" w:hAnsi="Book Antiqua"/>
          <w:sz w:val="17"/>
          <w:szCs w:val="17"/>
        </w:rPr>
      </w:pPr>
      <w:r w:rsidRPr="00847EB5">
        <w:rPr>
          <w:rFonts w:ascii="Book Antiqua" w:hAnsi="Book Antiqua"/>
          <w:sz w:val="17"/>
          <w:szCs w:val="17"/>
        </w:rPr>
        <w:t xml:space="preserve">Simone DREYFUS, </w:t>
      </w:r>
      <w:r w:rsidRPr="00847EB5">
        <w:rPr>
          <w:rStyle w:val="Accentuation"/>
          <w:rFonts w:ascii="Book Antiqua" w:hAnsi="Book Antiqua"/>
          <w:sz w:val="17"/>
          <w:szCs w:val="17"/>
        </w:rPr>
        <w:t>La thèse de doctorat et le mémoire – Etude méthodologique</w:t>
      </w:r>
      <w:r>
        <w:rPr>
          <w:rStyle w:val="Accentuation"/>
          <w:rFonts w:ascii="Book Antiqua" w:hAnsi="Book Antiqua"/>
          <w:sz w:val="17"/>
          <w:szCs w:val="17"/>
        </w:rPr>
        <w:t xml:space="preserve">, </w:t>
      </w:r>
      <w:r w:rsidRPr="00847EB5">
        <w:rPr>
          <w:rFonts w:ascii="Book Antiqua" w:hAnsi="Book Antiqua"/>
          <w:sz w:val="17"/>
          <w:szCs w:val="17"/>
        </w:rPr>
        <w:t>éd. Cujas, 3e éd., 2000 ;</w:t>
      </w:r>
    </w:p>
    <w:p w:rsidR="00A735A7" w:rsidRPr="00847EB5" w:rsidRDefault="00A735A7" w:rsidP="00A735A7">
      <w:pPr>
        <w:pStyle w:val="Paragraphedeliste"/>
        <w:numPr>
          <w:ilvl w:val="0"/>
          <w:numId w:val="1"/>
        </w:numPr>
        <w:ind w:left="0"/>
        <w:jc w:val="both"/>
        <w:rPr>
          <w:rFonts w:ascii="Book Antiqua" w:hAnsi="Book Antiqua"/>
          <w:sz w:val="17"/>
          <w:szCs w:val="17"/>
        </w:rPr>
      </w:pPr>
      <w:r w:rsidRPr="00847EB5">
        <w:rPr>
          <w:rFonts w:ascii="Book Antiqua" w:hAnsi="Book Antiqua"/>
          <w:sz w:val="17"/>
          <w:szCs w:val="17"/>
        </w:rPr>
        <w:t xml:space="preserve">Edith </w:t>
      </w:r>
      <w:proofErr w:type="spellStart"/>
      <w:r w:rsidRPr="00847EB5">
        <w:rPr>
          <w:rFonts w:ascii="Book Antiqua" w:hAnsi="Book Antiqua"/>
          <w:sz w:val="17"/>
          <w:szCs w:val="17"/>
        </w:rPr>
        <w:t>JAILLARDON</w:t>
      </w:r>
      <w:proofErr w:type="spellEnd"/>
      <w:r w:rsidRPr="00847EB5">
        <w:rPr>
          <w:rFonts w:ascii="Book Antiqua" w:hAnsi="Book Antiqua"/>
          <w:sz w:val="17"/>
          <w:szCs w:val="17"/>
        </w:rPr>
        <w:t xml:space="preserve"> et Dominique ROUSSILLON, </w:t>
      </w:r>
      <w:r w:rsidRPr="00847EB5">
        <w:rPr>
          <w:rStyle w:val="Accentuation"/>
          <w:rFonts w:ascii="Book Antiqua" w:hAnsi="Book Antiqua"/>
          <w:sz w:val="17"/>
          <w:szCs w:val="17"/>
        </w:rPr>
        <w:t>Outils pour la recherche juridique, méthodologie de la thèse de doctorat et du mémoire de master en droit,</w:t>
      </w:r>
      <w:r w:rsidRPr="00847EB5">
        <w:rPr>
          <w:rFonts w:ascii="Book Antiqua" w:hAnsi="Book Antiqua"/>
          <w:sz w:val="17"/>
          <w:szCs w:val="17"/>
        </w:rPr>
        <w:t xml:space="preserve"> éditions des archives contemporaines, </w:t>
      </w:r>
      <w:proofErr w:type="spellStart"/>
      <w:r w:rsidRPr="00847EB5">
        <w:rPr>
          <w:rFonts w:ascii="Book Antiqua" w:hAnsi="Book Antiqua"/>
          <w:sz w:val="17"/>
          <w:szCs w:val="17"/>
        </w:rPr>
        <w:t>AUF</w:t>
      </w:r>
      <w:proofErr w:type="spellEnd"/>
      <w:r w:rsidRPr="00847EB5">
        <w:rPr>
          <w:rFonts w:ascii="Book Antiqua" w:hAnsi="Book Antiqua"/>
          <w:sz w:val="17"/>
          <w:szCs w:val="17"/>
        </w:rPr>
        <w:t>, 2010.</w:t>
      </w:r>
    </w:p>
    <w:p w:rsidR="00A735A7" w:rsidRPr="00847EB5" w:rsidRDefault="00A735A7" w:rsidP="00A735A7">
      <w:pPr>
        <w:spacing w:after="0" w:line="240" w:lineRule="auto"/>
        <w:ind w:firstLine="708"/>
        <w:jc w:val="both"/>
        <w:rPr>
          <w:rFonts w:ascii="Book Antiqua" w:hAnsi="Book Antiqua"/>
          <w:b/>
          <w:sz w:val="17"/>
          <w:szCs w:val="17"/>
        </w:rPr>
      </w:pPr>
    </w:p>
    <w:p w:rsidR="00A735A7" w:rsidRPr="00847EB5" w:rsidRDefault="00A735A7" w:rsidP="00A735A7">
      <w:pPr>
        <w:spacing w:after="0" w:line="240" w:lineRule="auto"/>
        <w:ind w:firstLine="708"/>
        <w:jc w:val="both"/>
        <w:rPr>
          <w:rFonts w:ascii="Book Antiqua" w:hAnsi="Book Antiqua"/>
          <w:sz w:val="17"/>
          <w:szCs w:val="17"/>
        </w:rPr>
      </w:pPr>
      <w:r w:rsidRPr="00847EB5">
        <w:rPr>
          <w:rFonts w:ascii="Book Antiqua" w:hAnsi="Book Antiqua"/>
          <w:b/>
          <w:sz w:val="17"/>
          <w:szCs w:val="17"/>
        </w:rPr>
        <w:t xml:space="preserve">2/ </w:t>
      </w:r>
      <w:r w:rsidRPr="00847EB5">
        <w:rPr>
          <w:rFonts w:ascii="Book Antiqua" w:hAnsi="Book Antiqua"/>
          <w:sz w:val="17"/>
          <w:szCs w:val="17"/>
        </w:rPr>
        <w:t xml:space="preserve">S’agissant des </w:t>
      </w:r>
      <w:r w:rsidRPr="00847EB5">
        <w:rPr>
          <w:rFonts w:ascii="Book Antiqua" w:hAnsi="Book Antiqua"/>
          <w:b/>
          <w:sz w:val="17"/>
          <w:szCs w:val="17"/>
        </w:rPr>
        <w:t>contrats doctoraux et allocations de recherche</w:t>
      </w:r>
      <w:r w:rsidRPr="00847EB5">
        <w:rPr>
          <w:rFonts w:ascii="Book Antiqua" w:hAnsi="Book Antiqua"/>
          <w:sz w:val="17"/>
          <w:szCs w:val="17"/>
        </w:rPr>
        <w:t xml:space="preserve"> auxquels ont vocation naturelle les étudiants de la branche recherche du M2, on recommande d’abord à chacun de se rapprocher du service que l’Université dédie à ce sujet en la personne de Catherine PERRAULT, Mission Recherche de Paris II, </w:t>
      </w:r>
      <w:hyperlink r:id="rId6" w:history="1">
        <w:r w:rsidRPr="00847EB5">
          <w:rPr>
            <w:rStyle w:val="Lienhypertexte"/>
            <w:rFonts w:ascii="Book Antiqua" w:hAnsi="Book Antiqua"/>
            <w:sz w:val="17"/>
            <w:szCs w:val="17"/>
          </w:rPr>
          <w:t>catherine.perrault@u-paris2.fr</w:t>
        </w:r>
      </w:hyperlink>
      <w:r w:rsidRPr="00847EB5">
        <w:rPr>
          <w:rFonts w:ascii="Book Antiqua" w:hAnsi="Book Antiqua"/>
          <w:sz w:val="17"/>
          <w:szCs w:val="17"/>
        </w:rPr>
        <w:t>. Le Centre de recherche sur les droits de l’homme et le droit humanitaire (</w:t>
      </w:r>
      <w:proofErr w:type="spellStart"/>
      <w:r w:rsidRPr="00847EB5">
        <w:rPr>
          <w:rFonts w:ascii="Book Antiqua" w:hAnsi="Book Antiqua"/>
          <w:sz w:val="17"/>
          <w:szCs w:val="17"/>
        </w:rPr>
        <w:t>CRDH</w:t>
      </w:r>
      <w:proofErr w:type="spellEnd"/>
      <w:r w:rsidRPr="00847EB5">
        <w:rPr>
          <w:rFonts w:ascii="Book Antiqua" w:hAnsi="Book Antiqua"/>
          <w:sz w:val="17"/>
          <w:szCs w:val="17"/>
        </w:rPr>
        <w:t xml:space="preserve">, Panthéon, salle 220), qui dispose d’un fonds documentaire pointu, sert aussi de laboratoire d’accueil pour la préparation de thèses de doctorat en accueillant de nombreux doctorants, français et étrangers (cf. </w:t>
      </w:r>
      <w:hyperlink r:id="rId7" w:history="1">
        <w:r w:rsidRPr="00847EB5">
          <w:rPr>
            <w:rStyle w:val="Lienhypertexte"/>
            <w:rFonts w:ascii="Book Antiqua" w:hAnsi="Book Antiqua"/>
            <w:sz w:val="17"/>
            <w:szCs w:val="17"/>
          </w:rPr>
          <w:t>www.crdh.fr</w:t>
        </w:r>
      </w:hyperlink>
      <w:r w:rsidRPr="00847EB5">
        <w:rPr>
          <w:rFonts w:ascii="Book Antiqua" w:hAnsi="Book Antiqua"/>
          <w:sz w:val="17"/>
          <w:szCs w:val="17"/>
        </w:rPr>
        <w:t xml:space="preserve"> rubrique Recherche). La préparation d’une thèse donne alors lieu à un encadrement individuel par un des professeurs membres de l’équipe du Centre. Des informations générales, méthodologiques et pratiques sur la préparation d’une thèse sont par ailleurs disponibles dans le Guide établi par le Ministère de l’Enseignement supérieur et de la recherche : </w:t>
      </w:r>
      <w:hyperlink r:id="rId8" w:history="1">
        <w:r w:rsidRPr="00847EB5">
          <w:rPr>
            <w:rStyle w:val="Lienhypertexte"/>
            <w:rFonts w:ascii="Book Antiqua" w:hAnsi="Book Antiqua"/>
            <w:sz w:val="17"/>
            <w:szCs w:val="17"/>
          </w:rPr>
          <w:t>http://www.fabula.org/documents/guide.pdf</w:t>
        </w:r>
      </w:hyperlink>
      <w:proofErr w:type="gramStart"/>
      <w:r w:rsidRPr="00847EB5">
        <w:rPr>
          <w:rFonts w:ascii="Book Antiqua" w:hAnsi="Book Antiqua"/>
          <w:sz w:val="17"/>
          <w:szCs w:val="17"/>
        </w:rPr>
        <w:t xml:space="preserve"> .</w:t>
      </w:r>
      <w:proofErr w:type="gramEnd"/>
      <w:r w:rsidRPr="00847EB5">
        <w:rPr>
          <w:rFonts w:ascii="Book Antiqua" w:hAnsi="Book Antiqua"/>
          <w:sz w:val="17"/>
          <w:szCs w:val="17"/>
        </w:rPr>
        <w:t xml:space="preserve"> De nombreux conseils et informations, pistes et orientations, sont aussi en ligne sur le site </w:t>
      </w:r>
      <w:proofErr w:type="spellStart"/>
      <w:r w:rsidRPr="00847EB5">
        <w:rPr>
          <w:rFonts w:ascii="Book Antiqua" w:hAnsi="Book Antiqua"/>
          <w:sz w:val="17"/>
          <w:szCs w:val="17"/>
        </w:rPr>
        <w:t>ABES</w:t>
      </w:r>
      <w:proofErr w:type="spellEnd"/>
      <w:r w:rsidRPr="00847EB5">
        <w:rPr>
          <w:rFonts w:ascii="Book Antiqua" w:hAnsi="Book Antiqua"/>
          <w:sz w:val="17"/>
          <w:szCs w:val="17"/>
        </w:rPr>
        <w:t xml:space="preserve"> (Agence bibliographique de l’enseignement supérieur) en suivant le lien </w:t>
      </w:r>
      <w:hyperlink r:id="rId9" w:history="1">
        <w:r w:rsidRPr="00847EB5">
          <w:rPr>
            <w:rStyle w:val="Lienhypertexte"/>
            <w:rFonts w:ascii="Book Antiqua" w:hAnsi="Book Antiqua"/>
            <w:sz w:val="17"/>
            <w:szCs w:val="17"/>
          </w:rPr>
          <w:t>http://www.abes.fr/Theses/Espace-pour-les-doctorants</w:t>
        </w:r>
      </w:hyperlink>
      <w:r w:rsidRPr="00847EB5">
        <w:rPr>
          <w:rFonts w:ascii="Book Antiqua" w:hAnsi="Book Antiqua"/>
          <w:sz w:val="17"/>
          <w:szCs w:val="17"/>
        </w:rPr>
        <w:t xml:space="preserve"> </w:t>
      </w:r>
    </w:p>
    <w:p w:rsidR="00A735A7" w:rsidRPr="00847EB5" w:rsidRDefault="00A735A7" w:rsidP="00A735A7">
      <w:pPr>
        <w:spacing w:after="0" w:line="240" w:lineRule="auto"/>
        <w:ind w:firstLine="708"/>
        <w:jc w:val="both"/>
        <w:rPr>
          <w:rFonts w:ascii="Book Antiqua" w:hAnsi="Book Antiqua"/>
          <w:sz w:val="17"/>
          <w:szCs w:val="17"/>
        </w:rPr>
      </w:pPr>
    </w:p>
    <w:p w:rsidR="00A735A7" w:rsidRPr="00847EB5" w:rsidRDefault="00A735A7" w:rsidP="00A735A7">
      <w:pPr>
        <w:spacing w:after="0" w:line="240" w:lineRule="auto"/>
        <w:ind w:firstLine="708"/>
        <w:jc w:val="both"/>
        <w:rPr>
          <w:rFonts w:ascii="Book Antiqua" w:hAnsi="Book Antiqua"/>
          <w:sz w:val="17"/>
          <w:szCs w:val="17"/>
        </w:rPr>
      </w:pPr>
      <w:r w:rsidRPr="00847EB5">
        <w:rPr>
          <w:rFonts w:ascii="Book Antiqua" w:hAnsi="Book Antiqua"/>
          <w:sz w:val="17"/>
          <w:szCs w:val="17"/>
        </w:rPr>
        <w:t>La liste des thèses inscrites à l’Université est quant à elle accessible sur le site du service de la recherche. Il peut être utile aussi de consulter le fichier central des thèses (</w:t>
      </w:r>
      <w:hyperlink r:id="rId10" w:history="1">
        <w:r w:rsidRPr="00847EB5">
          <w:rPr>
            <w:rStyle w:val="Lienhypertexte"/>
            <w:rFonts w:ascii="Book Antiqua" w:hAnsi="Book Antiqua"/>
            <w:sz w:val="17"/>
            <w:szCs w:val="17"/>
          </w:rPr>
          <w:t>http://fct.u-paris10.fr</w:t>
        </w:r>
      </w:hyperlink>
      <w:r>
        <w:fldChar w:fldCharType="begin"/>
      </w:r>
      <w:r>
        <w:instrText xml:space="preserve"> HYPERLINK "http://fct.u-paris10.fr/" \t "_blank" </w:instrText>
      </w:r>
      <w:r>
        <w:fldChar w:fldCharType="separate"/>
      </w:r>
      <w:r w:rsidRPr="00847EB5">
        <w:rPr>
          <w:rStyle w:val="Lienhypertexte"/>
          <w:rFonts w:ascii="Book Antiqua" w:hAnsi="Book Antiqua"/>
          <w:sz w:val="17"/>
          <w:szCs w:val="17"/>
        </w:rPr>
        <w:t>http://fct.u-paris10.fr/</w:t>
      </w:r>
      <w:r>
        <w:rPr>
          <w:rStyle w:val="Lienhypertexte"/>
          <w:rFonts w:ascii="Book Antiqua" w:hAnsi="Book Antiqua"/>
          <w:sz w:val="17"/>
          <w:szCs w:val="17"/>
        </w:rPr>
        <w:fldChar w:fldCharType="end"/>
      </w:r>
      <w:r w:rsidRPr="00847EB5">
        <w:rPr>
          <w:rFonts w:ascii="Book Antiqua" w:hAnsi="Book Antiqua"/>
          <w:sz w:val="17"/>
          <w:szCs w:val="17"/>
        </w:rPr>
        <w:t xml:space="preserve">) qui recense dans une puissante base de données toutes les thèses inscrites dans les Universités françaises et permet la localisation de chacune selon des critères croisés. Certains doctorants bénéficient chaque année d’une allocation de recherche du Ministère de l’Education Nationale. Les chercheurs-associés du </w:t>
      </w:r>
      <w:proofErr w:type="spellStart"/>
      <w:r w:rsidRPr="00847EB5">
        <w:rPr>
          <w:rFonts w:ascii="Book Antiqua" w:hAnsi="Book Antiqua"/>
          <w:sz w:val="17"/>
          <w:szCs w:val="17"/>
        </w:rPr>
        <w:t>CRDH</w:t>
      </w:r>
      <w:proofErr w:type="spellEnd"/>
      <w:r w:rsidRPr="00847EB5">
        <w:rPr>
          <w:rFonts w:ascii="Book Antiqua" w:hAnsi="Book Antiqua"/>
          <w:sz w:val="17"/>
          <w:szCs w:val="17"/>
        </w:rPr>
        <w:t xml:space="preserve">, dont la liste est sur le site, titulaires d’allocations et parfois –selon des statuts divers- d’une charge d’enseignement, sont eux-mêmes issus de la branche Recherche du M2. Ils sont à votre disposition au </w:t>
      </w:r>
      <w:proofErr w:type="spellStart"/>
      <w:r w:rsidRPr="00847EB5">
        <w:rPr>
          <w:rFonts w:ascii="Book Antiqua" w:hAnsi="Book Antiqua"/>
          <w:sz w:val="17"/>
          <w:szCs w:val="17"/>
        </w:rPr>
        <w:t>CRDH</w:t>
      </w:r>
      <w:proofErr w:type="spellEnd"/>
      <w:r w:rsidRPr="00847EB5">
        <w:rPr>
          <w:rFonts w:ascii="Book Antiqua" w:hAnsi="Book Antiqua"/>
          <w:sz w:val="17"/>
          <w:szCs w:val="17"/>
        </w:rPr>
        <w:t xml:space="preserve"> pour tout conseil méthodologique et orientation professionnelle. Les doctorants du </w:t>
      </w:r>
      <w:proofErr w:type="spellStart"/>
      <w:r w:rsidRPr="00847EB5">
        <w:rPr>
          <w:rFonts w:ascii="Book Antiqua" w:hAnsi="Book Antiqua"/>
          <w:sz w:val="17"/>
          <w:szCs w:val="17"/>
        </w:rPr>
        <w:t>CRDH</w:t>
      </w:r>
      <w:proofErr w:type="spellEnd"/>
      <w:r w:rsidRPr="00847EB5">
        <w:rPr>
          <w:rFonts w:ascii="Book Antiqua" w:hAnsi="Book Antiqua"/>
          <w:sz w:val="17"/>
          <w:szCs w:val="17"/>
        </w:rPr>
        <w:t xml:space="preserve"> relèvent de l’Ecole doctorale de droit international, droit européen et droit comparé de l’Université Paris II, qui organise ses propres activités d’intérêt commun.</w:t>
      </w:r>
    </w:p>
    <w:p w:rsidR="00A735A7" w:rsidRPr="00847EB5" w:rsidRDefault="00A735A7" w:rsidP="00A735A7">
      <w:pPr>
        <w:spacing w:after="0" w:line="240" w:lineRule="auto"/>
        <w:ind w:firstLine="708"/>
        <w:jc w:val="both"/>
        <w:rPr>
          <w:rFonts w:ascii="Book Antiqua" w:hAnsi="Book Antiqua"/>
          <w:sz w:val="17"/>
          <w:szCs w:val="17"/>
        </w:rPr>
      </w:pPr>
    </w:p>
    <w:p w:rsidR="00A735A7" w:rsidRPr="00847EB5" w:rsidRDefault="00A735A7" w:rsidP="00A735A7">
      <w:pPr>
        <w:spacing w:after="0" w:line="240" w:lineRule="auto"/>
        <w:ind w:firstLine="708"/>
        <w:jc w:val="both"/>
        <w:rPr>
          <w:rFonts w:ascii="Book Antiqua" w:hAnsi="Book Antiqua"/>
          <w:sz w:val="17"/>
          <w:szCs w:val="17"/>
        </w:rPr>
      </w:pPr>
      <w:r w:rsidRPr="00847EB5">
        <w:rPr>
          <w:rFonts w:ascii="Book Antiqua" w:hAnsi="Book Antiqua"/>
          <w:sz w:val="17"/>
          <w:szCs w:val="17"/>
        </w:rPr>
        <w:t>On précisera aussi que dans le cadre d’EGIDE notamment (</w:t>
      </w:r>
      <w:hyperlink r:id="rId11" w:history="1">
        <w:r w:rsidRPr="00847EB5">
          <w:rPr>
            <w:rStyle w:val="Lienhypertexte"/>
            <w:rFonts w:ascii="Book Antiqua" w:hAnsi="Book Antiqua"/>
            <w:sz w:val="17"/>
            <w:szCs w:val="17"/>
          </w:rPr>
          <w:t>http://www.egide.asso.fr/jahia/Jahia/</w:t>
        </w:r>
      </w:hyperlink>
      <w:proofErr w:type="gramStart"/>
      <w:r w:rsidRPr="00847EB5">
        <w:rPr>
          <w:rFonts w:ascii="Book Antiqua" w:hAnsi="Book Antiqua"/>
          <w:sz w:val="17"/>
          <w:szCs w:val="17"/>
        </w:rPr>
        <w:t xml:space="preserve"> )</w:t>
      </w:r>
      <w:proofErr w:type="gramEnd"/>
      <w:r w:rsidRPr="00847EB5">
        <w:rPr>
          <w:rFonts w:ascii="Book Antiqua" w:hAnsi="Book Antiqua"/>
          <w:sz w:val="17"/>
          <w:szCs w:val="17"/>
        </w:rPr>
        <w:t xml:space="preserve">, des bourses à l’international sont proposées aux futurs ou actuels doctorants ainsi qu’aux étudiants de Master ayant un projet de recherche, par exemple dans le cadre du Programme d’excellence Eiffel lancé par le Ministère des affaires étrangères et européennes (toutes informations sur ledit site et sur celui du Ministère). Enfin, d’autres possibilités plus spécifiques de financement professionnel existent aussi, par exemple par le biais des conventions </w:t>
      </w:r>
      <w:proofErr w:type="spellStart"/>
      <w:r w:rsidRPr="00847EB5">
        <w:rPr>
          <w:rFonts w:ascii="Book Antiqua" w:hAnsi="Book Antiqua"/>
          <w:sz w:val="17"/>
          <w:szCs w:val="17"/>
        </w:rPr>
        <w:t>CIFRE</w:t>
      </w:r>
      <w:proofErr w:type="spellEnd"/>
      <w:r w:rsidRPr="00847EB5">
        <w:rPr>
          <w:rFonts w:ascii="Book Antiqua" w:hAnsi="Book Antiqua"/>
          <w:sz w:val="17"/>
          <w:szCs w:val="17"/>
        </w:rPr>
        <w:t xml:space="preserve">, de l’Agence nationale de la recherche, des grandes écoles comme HEC ou l’Ecole nationale supérieure, selon les exigences et procédures mises en procédures propres à chacune. Beaucoup de pistes existent donc à cet égard et doivent être recherchées selon les aspirations de chacun, qui devraient pouvoir être définies dès le début de l’année universitaire, avec le soutien et le conseil des doctorants et de l’équipe du </w:t>
      </w:r>
      <w:proofErr w:type="spellStart"/>
      <w:r w:rsidRPr="00847EB5">
        <w:rPr>
          <w:rFonts w:ascii="Book Antiqua" w:hAnsi="Book Antiqua"/>
          <w:sz w:val="17"/>
          <w:szCs w:val="17"/>
        </w:rPr>
        <w:t>CRDH</w:t>
      </w:r>
      <w:proofErr w:type="spellEnd"/>
      <w:r w:rsidRPr="00847EB5">
        <w:rPr>
          <w:rFonts w:ascii="Book Antiqua" w:hAnsi="Book Antiqua"/>
          <w:sz w:val="17"/>
          <w:szCs w:val="17"/>
        </w:rPr>
        <w:t>.</w:t>
      </w:r>
    </w:p>
    <w:p w:rsidR="003F5A19" w:rsidRDefault="003F5A19"/>
    <w:sectPr w:rsidR="003F5A19" w:rsidSect="00A735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E6BE4"/>
    <w:multiLevelType w:val="hybridMultilevel"/>
    <w:tmpl w:val="B052EC0E"/>
    <w:lvl w:ilvl="0" w:tplc="6458E20E">
      <w:numFmt w:val="bullet"/>
      <w:lvlText w:val=""/>
      <w:lvlJc w:val="left"/>
      <w:pPr>
        <w:ind w:left="1068" w:hanging="360"/>
      </w:pPr>
      <w:rPr>
        <w:rFonts w:ascii="Symbol" w:eastAsia="Times New Roman" w:hAnsi="Symbo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5A7"/>
    <w:rsid w:val="003F5A19"/>
    <w:rsid w:val="00A735A7"/>
    <w:rsid w:val="00C56C7B"/>
    <w:rsid w:val="00FF444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09B1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ajorEastAsia" w:hAnsi="Times New Roman" w:cs="Times New Roman"/>
        <w:color w:val="000000"/>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5A7"/>
    <w:pPr>
      <w:spacing w:after="200" w:line="276" w:lineRule="auto"/>
    </w:pPr>
    <w:rPr>
      <w:rFonts w:ascii="Calibri" w:eastAsia="Calibri" w:hAnsi="Calibri"/>
      <w:color w:val="auto"/>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A735A7"/>
    <w:pPr>
      <w:autoSpaceDE w:val="0"/>
      <w:autoSpaceDN w:val="0"/>
      <w:adjustRightInd w:val="0"/>
    </w:pPr>
    <w:rPr>
      <w:rFonts w:ascii="Book Antiqua" w:eastAsia="Calibri" w:hAnsi="Book Antiqua" w:cs="Book Antiqua"/>
      <w:sz w:val="24"/>
      <w:szCs w:val="24"/>
      <w:lang w:eastAsia="en-US"/>
    </w:rPr>
  </w:style>
  <w:style w:type="character" w:styleId="Lienhypertexte">
    <w:name w:val="Hyperlink"/>
    <w:basedOn w:val="Policepardfaut"/>
    <w:uiPriority w:val="99"/>
    <w:rsid w:val="00A735A7"/>
    <w:rPr>
      <w:rFonts w:cs="Times New Roman"/>
      <w:color w:val="0000FF"/>
      <w:u w:val="single"/>
    </w:rPr>
  </w:style>
  <w:style w:type="character" w:styleId="Accentuation">
    <w:name w:val="Emphasis"/>
    <w:basedOn w:val="Policepardfaut"/>
    <w:uiPriority w:val="99"/>
    <w:qFormat/>
    <w:rsid w:val="00A735A7"/>
    <w:rPr>
      <w:rFonts w:cs="Times New Roman"/>
      <w:i/>
      <w:iCs/>
    </w:rPr>
  </w:style>
  <w:style w:type="paragraph" w:styleId="Paragraphedeliste">
    <w:name w:val="List Paragraph"/>
    <w:basedOn w:val="Normal"/>
    <w:uiPriority w:val="99"/>
    <w:qFormat/>
    <w:rsid w:val="00A735A7"/>
    <w:pPr>
      <w:spacing w:after="0" w:line="240" w:lineRule="auto"/>
      <w:ind w:left="720"/>
      <w:contextualSpacing/>
    </w:pPr>
    <w:rPr>
      <w:rFonts w:ascii="Times New Roman" w:eastAsia="Times New Roman" w:hAnsi="Times New Roman"/>
      <w:sz w:val="24"/>
      <w:szCs w:val="24"/>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ajorEastAsia" w:hAnsi="Times New Roman" w:cs="Times New Roman"/>
        <w:color w:val="000000"/>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5A7"/>
    <w:pPr>
      <w:spacing w:after="200" w:line="276" w:lineRule="auto"/>
    </w:pPr>
    <w:rPr>
      <w:rFonts w:ascii="Calibri" w:eastAsia="Calibri" w:hAnsi="Calibri"/>
      <w:color w:val="auto"/>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A735A7"/>
    <w:pPr>
      <w:autoSpaceDE w:val="0"/>
      <w:autoSpaceDN w:val="0"/>
      <w:adjustRightInd w:val="0"/>
    </w:pPr>
    <w:rPr>
      <w:rFonts w:ascii="Book Antiqua" w:eastAsia="Calibri" w:hAnsi="Book Antiqua" w:cs="Book Antiqua"/>
      <w:sz w:val="24"/>
      <w:szCs w:val="24"/>
      <w:lang w:eastAsia="en-US"/>
    </w:rPr>
  </w:style>
  <w:style w:type="character" w:styleId="Lienhypertexte">
    <w:name w:val="Hyperlink"/>
    <w:basedOn w:val="Policepardfaut"/>
    <w:uiPriority w:val="99"/>
    <w:rsid w:val="00A735A7"/>
    <w:rPr>
      <w:rFonts w:cs="Times New Roman"/>
      <w:color w:val="0000FF"/>
      <w:u w:val="single"/>
    </w:rPr>
  </w:style>
  <w:style w:type="character" w:styleId="Accentuation">
    <w:name w:val="Emphasis"/>
    <w:basedOn w:val="Policepardfaut"/>
    <w:uiPriority w:val="99"/>
    <w:qFormat/>
    <w:rsid w:val="00A735A7"/>
    <w:rPr>
      <w:rFonts w:cs="Times New Roman"/>
      <w:i/>
      <w:iCs/>
    </w:rPr>
  </w:style>
  <w:style w:type="paragraph" w:styleId="Paragraphedeliste">
    <w:name w:val="List Paragraph"/>
    <w:basedOn w:val="Normal"/>
    <w:uiPriority w:val="99"/>
    <w:qFormat/>
    <w:rsid w:val="00A735A7"/>
    <w:pPr>
      <w:spacing w:after="0" w:line="240" w:lineRule="auto"/>
      <w:ind w:left="720"/>
      <w:contextualSpacing/>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gide.asso.fr/jahia/Jahia/"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catherine.perrault@u-paris2.fr" TargetMode="External"/><Relationship Id="rId7" Type="http://schemas.openxmlformats.org/officeDocument/2006/relationships/hyperlink" Target="http://www.crdh.fr" TargetMode="External"/><Relationship Id="rId8" Type="http://schemas.openxmlformats.org/officeDocument/2006/relationships/hyperlink" Target="http://www.fabula.org/documents/guide.pdf" TargetMode="External"/><Relationship Id="rId9" Type="http://schemas.openxmlformats.org/officeDocument/2006/relationships/hyperlink" Target="http://www.abes.fr/Theses/Espace-pour-les-doctorants" TargetMode="External"/><Relationship Id="rId10" Type="http://schemas.openxmlformats.org/officeDocument/2006/relationships/hyperlink" Target="http://fct.u-paris10.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918</Words>
  <Characters>5054</Characters>
  <Application>Microsoft Macintosh Word</Application>
  <DocSecurity>0</DocSecurity>
  <Lines>42</Lines>
  <Paragraphs>11</Paragraphs>
  <ScaleCrop>false</ScaleCrop>
  <Company/>
  <LinksUpToDate>false</LinksUpToDate>
  <CharactersWithSpaces>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Baum</dc:creator>
  <cp:keywords/>
  <dc:description/>
  <cp:lastModifiedBy>Lauren Baum</cp:lastModifiedBy>
  <cp:revision>1</cp:revision>
  <dcterms:created xsi:type="dcterms:W3CDTF">2014-07-17T18:08:00Z</dcterms:created>
  <dcterms:modified xsi:type="dcterms:W3CDTF">2014-07-17T18:08:00Z</dcterms:modified>
</cp:coreProperties>
</file>