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86" w:rsidRPr="00735CB5" w:rsidRDefault="00A41186" w:rsidP="00A41186">
      <w:pPr>
        <w:shd w:val="pct12" w:color="auto" w:fill="auto"/>
        <w:spacing w:after="0" w:line="240" w:lineRule="auto"/>
        <w:jc w:val="center"/>
        <w:rPr>
          <w:rFonts w:ascii="Book Antiqua" w:hAnsi="Book Antiqua"/>
          <w:b/>
          <w:sz w:val="18"/>
          <w:szCs w:val="18"/>
        </w:rPr>
      </w:pPr>
      <w:r w:rsidRPr="00735CB5">
        <w:rPr>
          <w:rFonts w:ascii="Book Antiqua" w:hAnsi="Book Antiqua"/>
          <w:b/>
          <w:sz w:val="18"/>
          <w:szCs w:val="18"/>
        </w:rPr>
        <w:t>NOTE CONCERNANT LES STAGES</w:t>
      </w:r>
    </w:p>
    <w:p w:rsidR="00A41186" w:rsidRPr="00735CB5" w:rsidRDefault="00A41186" w:rsidP="00A41186">
      <w:pPr>
        <w:spacing w:after="0" w:line="240" w:lineRule="auto"/>
        <w:jc w:val="center"/>
        <w:rPr>
          <w:rFonts w:ascii="Book Antiqua" w:hAnsi="Book Antiqua"/>
          <w:b/>
          <w:sz w:val="18"/>
          <w:szCs w:val="18"/>
        </w:rPr>
      </w:pPr>
    </w:p>
    <w:p w:rsidR="00A41186" w:rsidRPr="00735CB5" w:rsidRDefault="00A41186" w:rsidP="00A41186">
      <w:pPr>
        <w:spacing w:after="0" w:line="240" w:lineRule="auto"/>
        <w:jc w:val="both"/>
        <w:rPr>
          <w:rFonts w:ascii="Book Antiqua" w:hAnsi="Book Antiqua"/>
          <w:sz w:val="18"/>
          <w:szCs w:val="18"/>
        </w:rPr>
      </w:pP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 xml:space="preserve">D’une durée de deux mois, le stage pourra être effectué dans une administration, une juridiction, un cabinet d’avocats, une Organisation internationale, une juridiction internationale ou une ONG. Il est conseillé aux étudiants de se mettre </w:t>
      </w:r>
      <w:r w:rsidRPr="00735CB5">
        <w:rPr>
          <w:rFonts w:ascii="Book Antiqua" w:hAnsi="Book Antiqua"/>
          <w:i/>
          <w:sz w:val="18"/>
          <w:szCs w:val="18"/>
        </w:rPr>
        <w:t>rapidement</w:t>
      </w:r>
      <w:r w:rsidRPr="00735CB5">
        <w:rPr>
          <w:rFonts w:ascii="Book Antiqua" w:hAnsi="Book Antiqua"/>
          <w:sz w:val="18"/>
          <w:szCs w:val="18"/>
        </w:rPr>
        <w:t xml:space="preserve"> en recherche d’un tel stage, recherche facilitée par l’établissement d’un solide réseau de contacts et de confiance établi et enrichi au fil des promotions.</w:t>
      </w:r>
    </w:p>
    <w:p w:rsidR="00A41186" w:rsidRPr="00735CB5" w:rsidRDefault="00A41186" w:rsidP="00A41186">
      <w:pPr>
        <w:spacing w:after="0" w:line="240" w:lineRule="auto"/>
        <w:ind w:firstLine="708"/>
        <w:jc w:val="both"/>
        <w:rPr>
          <w:rFonts w:ascii="Book Antiqua" w:hAnsi="Book Antiqua"/>
          <w:sz w:val="18"/>
          <w:szCs w:val="18"/>
        </w:rPr>
      </w:pP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 xml:space="preserve">Une </w:t>
      </w:r>
      <w:r w:rsidRPr="00735CB5">
        <w:rPr>
          <w:rFonts w:ascii="Book Antiqua" w:hAnsi="Book Antiqua"/>
          <w:b/>
          <w:sz w:val="18"/>
          <w:szCs w:val="18"/>
        </w:rPr>
        <w:t>convention de stage</w:t>
      </w:r>
      <w:r w:rsidRPr="00735CB5">
        <w:rPr>
          <w:rFonts w:ascii="Book Antiqua" w:hAnsi="Book Antiqua"/>
          <w:sz w:val="18"/>
          <w:szCs w:val="18"/>
        </w:rPr>
        <w:t xml:space="preserve"> est signée entre l’Université Paris II (qu’aucun centre de recherche ne peut seul engager) et l’institution d’accueil. Obéissant à des dispositions législatives strictes et pour des raisons notamment de responsabilité civile, aucune convention ne pourra être conclue en dehors du temps d’inscription administrative à l’Université.</w:t>
      </w:r>
    </w:p>
    <w:p w:rsidR="00A41186" w:rsidRPr="00735CB5" w:rsidRDefault="00A41186" w:rsidP="00A41186">
      <w:pPr>
        <w:spacing w:after="0" w:line="240" w:lineRule="auto"/>
        <w:jc w:val="both"/>
        <w:rPr>
          <w:rFonts w:ascii="Book Antiqua" w:hAnsi="Book Antiqua"/>
          <w:sz w:val="18"/>
          <w:szCs w:val="18"/>
        </w:rPr>
      </w:pPr>
    </w:p>
    <w:p w:rsidR="00A41186"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 xml:space="preserve">L’ensemble des </w:t>
      </w:r>
      <w:r w:rsidRPr="00735CB5">
        <w:rPr>
          <w:rFonts w:ascii="Book Antiqua" w:hAnsi="Book Antiqua"/>
          <w:b/>
          <w:sz w:val="18"/>
          <w:szCs w:val="18"/>
        </w:rPr>
        <w:t>rapports de stage</w:t>
      </w:r>
      <w:r w:rsidRPr="00735CB5">
        <w:rPr>
          <w:rFonts w:ascii="Book Antiqua" w:hAnsi="Book Antiqua"/>
          <w:sz w:val="18"/>
          <w:szCs w:val="18"/>
        </w:rPr>
        <w:t xml:space="preserve"> élaborés au cours des précédentes promotions </w:t>
      </w:r>
      <w:r>
        <w:rPr>
          <w:rFonts w:ascii="Book Antiqua" w:hAnsi="Book Antiqua"/>
          <w:sz w:val="18"/>
          <w:szCs w:val="18"/>
        </w:rPr>
        <w:t>est disponible et consultable</w:t>
      </w:r>
      <w:r w:rsidRPr="00735CB5">
        <w:rPr>
          <w:rFonts w:ascii="Book Antiqua" w:hAnsi="Book Antiqua"/>
          <w:sz w:val="18"/>
          <w:szCs w:val="18"/>
        </w:rPr>
        <w:t xml:space="preserve"> à la bibliothèque du </w:t>
      </w:r>
      <w:proofErr w:type="spellStart"/>
      <w:r w:rsidRPr="00735CB5">
        <w:rPr>
          <w:rFonts w:ascii="Book Antiqua" w:hAnsi="Book Antiqua"/>
          <w:sz w:val="18"/>
          <w:szCs w:val="18"/>
        </w:rPr>
        <w:t>CRDH</w:t>
      </w:r>
      <w:proofErr w:type="spellEnd"/>
      <w:r w:rsidRPr="00735CB5">
        <w:rPr>
          <w:rFonts w:ascii="Book Antiqua" w:hAnsi="Book Antiqua"/>
          <w:sz w:val="18"/>
          <w:szCs w:val="18"/>
        </w:rPr>
        <w:t xml:space="preserve"> salle 220 – hormis certains rapports contenant des informations confidentielles. A titre d’</w:t>
      </w:r>
      <w:r w:rsidRPr="00735CB5">
        <w:rPr>
          <w:rFonts w:ascii="Book Antiqua" w:hAnsi="Book Antiqua"/>
          <w:b/>
          <w:sz w:val="18"/>
          <w:szCs w:val="18"/>
        </w:rPr>
        <w:t>exemples</w:t>
      </w:r>
      <w:r w:rsidRPr="00735CB5">
        <w:rPr>
          <w:rFonts w:ascii="Book Antiqua" w:hAnsi="Book Antiqua"/>
          <w:sz w:val="18"/>
          <w:szCs w:val="18"/>
        </w:rPr>
        <w:t>, au cours des années précédentes et pour information, les stages effectués ont été notamment les suivants :</w:t>
      </w:r>
    </w:p>
    <w:p w:rsidR="00A41186" w:rsidRDefault="00A41186" w:rsidP="00A41186">
      <w:pPr>
        <w:spacing w:after="0" w:line="240" w:lineRule="auto"/>
        <w:ind w:firstLine="708"/>
        <w:jc w:val="both"/>
        <w:rPr>
          <w:rFonts w:ascii="Book Antiqua" w:hAnsi="Book Antiqua"/>
          <w:sz w:val="18"/>
          <w:szCs w:val="18"/>
        </w:rPr>
      </w:pP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b/>
          <w:sz w:val="18"/>
          <w:szCs w:val="18"/>
        </w:rPr>
        <w:t>1.</w:t>
      </w:r>
      <w:r>
        <w:rPr>
          <w:rFonts w:ascii="Book Antiqua" w:hAnsi="Book Antiqua"/>
          <w:sz w:val="18"/>
          <w:szCs w:val="18"/>
        </w:rPr>
        <w:t xml:space="preserve"> </w:t>
      </w:r>
      <w:r w:rsidRPr="00735CB5">
        <w:rPr>
          <w:rFonts w:ascii="Book Antiqua" w:hAnsi="Book Antiqua"/>
          <w:b/>
          <w:sz w:val="18"/>
          <w:szCs w:val="18"/>
        </w:rPr>
        <w:t>Ministères</w:t>
      </w:r>
    </w:p>
    <w:p w:rsidR="00A41186"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 xml:space="preserve">Ministère des affaires étrangères et européennes, </w:t>
      </w:r>
      <w:proofErr w:type="spellStart"/>
      <w:r w:rsidRPr="00735CB5">
        <w:rPr>
          <w:rFonts w:ascii="Book Antiqua" w:hAnsi="Book Antiqua"/>
          <w:sz w:val="18"/>
          <w:szCs w:val="18"/>
        </w:rPr>
        <w:t>DGP</w:t>
      </w:r>
      <w:proofErr w:type="spellEnd"/>
      <w:r w:rsidRPr="00735CB5">
        <w:rPr>
          <w:rFonts w:ascii="Book Antiqua" w:hAnsi="Book Antiqua"/>
          <w:sz w:val="18"/>
          <w:szCs w:val="18"/>
        </w:rPr>
        <w:t>/</w:t>
      </w:r>
      <w:proofErr w:type="spellStart"/>
      <w:r w:rsidRPr="00735CB5">
        <w:rPr>
          <w:rFonts w:ascii="Book Antiqua" w:hAnsi="Book Antiqua"/>
          <w:sz w:val="18"/>
          <w:szCs w:val="18"/>
        </w:rPr>
        <w:t>NUOI</w:t>
      </w:r>
      <w:proofErr w:type="spellEnd"/>
    </w:p>
    <w:p w:rsidR="00A41186"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Ministère des affaires étrangères et européennes, Mission de la gouvernance démocratique, Ambassadeur aux droits de l’homme</w:t>
      </w:r>
    </w:p>
    <w:p w:rsidR="00A41186"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Ministère de l’intérieur, de l’outre-mer, des collectivités territoriales et de l’intégration</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 xml:space="preserve">Ministère de la Défense et des anciens combattants : collège de l’enseignement supérieur de l’armée de terre, </w:t>
      </w:r>
      <w:proofErr w:type="spellStart"/>
      <w:r w:rsidRPr="00735CB5">
        <w:rPr>
          <w:rFonts w:ascii="Book Antiqua" w:hAnsi="Book Antiqua"/>
          <w:sz w:val="18"/>
          <w:szCs w:val="18"/>
        </w:rPr>
        <w:t>DAS</w:t>
      </w:r>
      <w:proofErr w:type="spellEnd"/>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Ministère de la Justice et des Libertés</w:t>
      </w:r>
    </w:p>
    <w:p w:rsidR="00A41186" w:rsidRPr="00735CB5" w:rsidRDefault="00A41186" w:rsidP="00A41186">
      <w:pPr>
        <w:spacing w:after="0" w:line="240" w:lineRule="auto"/>
        <w:ind w:firstLine="708"/>
        <w:jc w:val="both"/>
        <w:rPr>
          <w:rFonts w:ascii="Book Antiqua" w:hAnsi="Book Antiqua"/>
          <w:b/>
          <w:sz w:val="18"/>
          <w:szCs w:val="18"/>
        </w:rPr>
      </w:pP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b/>
          <w:sz w:val="18"/>
          <w:szCs w:val="18"/>
        </w:rPr>
        <w:t>2.</w:t>
      </w:r>
      <w:r w:rsidRPr="00735CB5">
        <w:rPr>
          <w:rFonts w:ascii="Book Antiqua" w:hAnsi="Book Antiqua"/>
          <w:sz w:val="18"/>
          <w:szCs w:val="18"/>
        </w:rPr>
        <w:t xml:space="preserve"> </w:t>
      </w:r>
      <w:r w:rsidRPr="00735CB5">
        <w:rPr>
          <w:rFonts w:ascii="Book Antiqua" w:hAnsi="Book Antiqua"/>
          <w:b/>
          <w:sz w:val="18"/>
          <w:szCs w:val="18"/>
        </w:rPr>
        <w:t>Juridictions</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Juridictions nationales</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Cour pénale internationale</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Tribunal pénal international pour l’Ex Yougoslavie</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Tribunal pénal international pour le Rwanda</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Tribunal international pour le Cambodge</w:t>
      </w:r>
    </w:p>
    <w:p w:rsidR="00A41186" w:rsidRPr="00735CB5" w:rsidRDefault="00A41186" w:rsidP="00A41186">
      <w:pPr>
        <w:spacing w:after="0" w:line="240" w:lineRule="auto"/>
        <w:ind w:firstLine="708"/>
        <w:jc w:val="both"/>
        <w:rPr>
          <w:rFonts w:ascii="Book Antiqua" w:hAnsi="Book Antiqua"/>
          <w:b/>
          <w:sz w:val="18"/>
          <w:szCs w:val="18"/>
        </w:rPr>
      </w:pPr>
    </w:p>
    <w:p w:rsidR="00A41186" w:rsidRPr="00735CB5" w:rsidRDefault="00A41186" w:rsidP="00A41186">
      <w:pPr>
        <w:spacing w:after="0" w:line="240" w:lineRule="auto"/>
        <w:ind w:firstLine="708"/>
        <w:jc w:val="both"/>
        <w:rPr>
          <w:rFonts w:ascii="Book Antiqua" w:hAnsi="Book Antiqua"/>
          <w:b/>
          <w:sz w:val="18"/>
          <w:szCs w:val="18"/>
        </w:rPr>
      </w:pPr>
      <w:r w:rsidRPr="00735CB5">
        <w:rPr>
          <w:rFonts w:ascii="Book Antiqua" w:hAnsi="Book Antiqua"/>
          <w:b/>
          <w:sz w:val="18"/>
          <w:szCs w:val="18"/>
        </w:rPr>
        <w:t>3. Cabinets d’avocats</w:t>
      </w:r>
    </w:p>
    <w:p w:rsidR="00A41186" w:rsidRPr="00735CB5" w:rsidRDefault="00A41186" w:rsidP="00A41186">
      <w:pPr>
        <w:spacing w:after="0" w:line="240" w:lineRule="auto"/>
        <w:ind w:firstLine="708"/>
        <w:jc w:val="both"/>
        <w:rPr>
          <w:rFonts w:ascii="Book Antiqua" w:hAnsi="Book Antiqua"/>
          <w:b/>
          <w:sz w:val="18"/>
          <w:szCs w:val="18"/>
        </w:rPr>
      </w:pPr>
    </w:p>
    <w:p w:rsidR="00A41186" w:rsidRPr="00735CB5" w:rsidRDefault="00A41186" w:rsidP="00A41186">
      <w:pPr>
        <w:spacing w:after="0" w:line="240" w:lineRule="auto"/>
        <w:ind w:firstLine="708"/>
        <w:jc w:val="both"/>
        <w:rPr>
          <w:rFonts w:ascii="Book Antiqua" w:hAnsi="Book Antiqua"/>
          <w:b/>
          <w:sz w:val="18"/>
          <w:szCs w:val="18"/>
        </w:rPr>
      </w:pPr>
      <w:r w:rsidRPr="00735CB5">
        <w:rPr>
          <w:rFonts w:ascii="Book Antiqua" w:hAnsi="Book Antiqua"/>
          <w:b/>
          <w:sz w:val="18"/>
          <w:szCs w:val="18"/>
        </w:rPr>
        <w:t>4. Organisations non gouvernementales</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Amnesty International</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Fédération internationale des droits de l’homme</w:t>
      </w:r>
    </w:p>
    <w:p w:rsidR="00A41186" w:rsidRPr="00735CB5" w:rsidRDefault="00A41186" w:rsidP="00A41186">
      <w:pPr>
        <w:spacing w:after="0" w:line="240" w:lineRule="auto"/>
        <w:ind w:firstLine="708"/>
        <w:jc w:val="both"/>
        <w:rPr>
          <w:rFonts w:ascii="Book Antiqua" w:hAnsi="Book Antiqua"/>
          <w:sz w:val="18"/>
          <w:szCs w:val="18"/>
        </w:rPr>
      </w:pPr>
      <w:proofErr w:type="spellStart"/>
      <w:r w:rsidRPr="00735CB5">
        <w:rPr>
          <w:rFonts w:ascii="Book Antiqua" w:hAnsi="Book Antiqua"/>
          <w:sz w:val="18"/>
          <w:szCs w:val="18"/>
        </w:rPr>
        <w:t>GISTI</w:t>
      </w:r>
      <w:proofErr w:type="spellEnd"/>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Greenpeace</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Les Amis de la Terre</w:t>
      </w:r>
    </w:p>
    <w:p w:rsidR="00A41186" w:rsidRPr="00735CB5" w:rsidRDefault="00A41186" w:rsidP="00A41186">
      <w:pPr>
        <w:spacing w:after="0" w:line="240" w:lineRule="auto"/>
        <w:ind w:firstLine="708"/>
        <w:jc w:val="both"/>
        <w:rPr>
          <w:rFonts w:ascii="Book Antiqua" w:hAnsi="Book Antiqua"/>
          <w:b/>
          <w:sz w:val="18"/>
          <w:szCs w:val="18"/>
        </w:rPr>
      </w:pPr>
    </w:p>
    <w:p w:rsidR="00A41186" w:rsidRPr="00735CB5" w:rsidRDefault="00A41186" w:rsidP="00A41186">
      <w:pPr>
        <w:spacing w:after="0" w:line="240" w:lineRule="auto"/>
        <w:ind w:firstLine="708"/>
        <w:jc w:val="both"/>
        <w:rPr>
          <w:rFonts w:ascii="Book Antiqua" w:hAnsi="Book Antiqua"/>
          <w:b/>
          <w:sz w:val="18"/>
          <w:szCs w:val="18"/>
        </w:rPr>
      </w:pPr>
      <w:r w:rsidRPr="00735CB5">
        <w:rPr>
          <w:rFonts w:ascii="Book Antiqua" w:hAnsi="Book Antiqua"/>
          <w:b/>
          <w:sz w:val="18"/>
          <w:szCs w:val="18"/>
        </w:rPr>
        <w:t>4. Organisations nationales</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Commission Nationale Informatique et Libertés</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Commission nationale consultative des droits de l’homme</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Défenseur des droits de l’homme</w:t>
      </w:r>
    </w:p>
    <w:p w:rsidR="00A41186" w:rsidRPr="00735CB5" w:rsidRDefault="00A41186" w:rsidP="00A41186">
      <w:pPr>
        <w:spacing w:after="0" w:line="240" w:lineRule="auto"/>
        <w:ind w:firstLine="708"/>
        <w:jc w:val="both"/>
        <w:rPr>
          <w:rFonts w:ascii="Book Antiqua" w:hAnsi="Book Antiqua"/>
          <w:b/>
          <w:sz w:val="18"/>
          <w:szCs w:val="18"/>
        </w:rPr>
      </w:pPr>
    </w:p>
    <w:p w:rsidR="00A41186" w:rsidRPr="00735CB5" w:rsidRDefault="00A41186" w:rsidP="00A41186">
      <w:pPr>
        <w:spacing w:after="0" w:line="240" w:lineRule="auto"/>
        <w:ind w:firstLine="708"/>
        <w:jc w:val="both"/>
        <w:rPr>
          <w:rFonts w:ascii="Book Antiqua" w:hAnsi="Book Antiqua"/>
          <w:b/>
          <w:sz w:val="18"/>
          <w:szCs w:val="18"/>
        </w:rPr>
      </w:pPr>
      <w:r w:rsidRPr="00735CB5">
        <w:rPr>
          <w:rFonts w:ascii="Book Antiqua" w:hAnsi="Book Antiqua"/>
          <w:b/>
          <w:sz w:val="18"/>
          <w:szCs w:val="18"/>
        </w:rPr>
        <w:t>5. Organisations internationales</w:t>
      </w: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Nations Unies (Genève, New York, etc.)</w:t>
      </w:r>
    </w:p>
    <w:p w:rsidR="00A41186" w:rsidRDefault="00A41186" w:rsidP="00A41186">
      <w:pPr>
        <w:spacing w:after="0" w:line="240" w:lineRule="auto"/>
        <w:ind w:firstLine="708"/>
        <w:jc w:val="both"/>
        <w:rPr>
          <w:rFonts w:ascii="Book Antiqua" w:hAnsi="Book Antiqua"/>
          <w:sz w:val="18"/>
          <w:szCs w:val="18"/>
        </w:rPr>
      </w:pPr>
      <w:r w:rsidRPr="00735CB5">
        <w:rPr>
          <w:rFonts w:ascii="Book Antiqua" w:hAnsi="Book Antiqua"/>
          <w:sz w:val="18"/>
          <w:szCs w:val="18"/>
        </w:rPr>
        <w:t>Haut Commissariat pour les Réfugiés (HCR)</w:t>
      </w:r>
    </w:p>
    <w:p w:rsidR="00A41186" w:rsidRDefault="00A41186" w:rsidP="00A41186">
      <w:pPr>
        <w:spacing w:after="0" w:line="240" w:lineRule="auto"/>
        <w:ind w:firstLine="708"/>
        <w:jc w:val="both"/>
        <w:rPr>
          <w:rFonts w:ascii="Book Antiqua" w:hAnsi="Book Antiqua"/>
          <w:sz w:val="18"/>
          <w:szCs w:val="18"/>
        </w:rPr>
      </w:pPr>
    </w:p>
    <w:p w:rsidR="00A41186" w:rsidRDefault="00A41186" w:rsidP="00A41186">
      <w:pPr>
        <w:spacing w:after="0" w:line="240" w:lineRule="auto"/>
        <w:ind w:firstLine="708"/>
        <w:jc w:val="both"/>
        <w:rPr>
          <w:rFonts w:ascii="Book Antiqua" w:hAnsi="Book Antiqua"/>
          <w:sz w:val="18"/>
          <w:szCs w:val="18"/>
        </w:rPr>
      </w:pPr>
    </w:p>
    <w:p w:rsidR="00A41186" w:rsidRPr="00735CB5" w:rsidRDefault="00A41186" w:rsidP="00A41186">
      <w:pPr>
        <w:spacing w:after="0" w:line="240" w:lineRule="auto"/>
        <w:ind w:firstLine="708"/>
        <w:jc w:val="both"/>
        <w:rPr>
          <w:rFonts w:ascii="Book Antiqua" w:hAnsi="Book Antiqua"/>
          <w:sz w:val="18"/>
          <w:szCs w:val="18"/>
        </w:rPr>
      </w:pPr>
      <w:r w:rsidRPr="00735CB5">
        <w:rPr>
          <w:rFonts w:ascii="Book Antiqua" w:hAnsi="Book Antiqua"/>
          <w:b/>
          <w:sz w:val="18"/>
          <w:szCs w:val="18"/>
          <w:u w:val="single"/>
        </w:rPr>
        <w:t>N</w:t>
      </w:r>
      <w:r>
        <w:rPr>
          <w:rFonts w:ascii="Book Antiqua" w:hAnsi="Book Antiqua"/>
          <w:b/>
          <w:sz w:val="18"/>
          <w:szCs w:val="18"/>
          <w:u w:val="single"/>
        </w:rPr>
        <w:t>.</w:t>
      </w:r>
      <w:r w:rsidRPr="00735CB5">
        <w:rPr>
          <w:rFonts w:ascii="Book Antiqua" w:hAnsi="Book Antiqua"/>
          <w:b/>
          <w:sz w:val="18"/>
          <w:szCs w:val="18"/>
          <w:u w:val="single"/>
        </w:rPr>
        <w:t>B</w:t>
      </w:r>
      <w:r>
        <w:rPr>
          <w:rFonts w:ascii="Book Antiqua" w:hAnsi="Book Antiqua"/>
          <w:b/>
          <w:sz w:val="18"/>
          <w:szCs w:val="18"/>
          <w:u w:val="single"/>
        </w:rPr>
        <w:t>.</w:t>
      </w:r>
      <w:r w:rsidRPr="00735CB5">
        <w:rPr>
          <w:rFonts w:ascii="Book Antiqua" w:hAnsi="Book Antiqua"/>
          <w:sz w:val="18"/>
          <w:szCs w:val="18"/>
        </w:rPr>
        <w:t xml:space="preserve"> Site de la Bourse interministérielle de l'emploi : </w:t>
      </w:r>
      <w:hyperlink r:id="rId5" w:history="1">
        <w:r w:rsidRPr="00735CB5">
          <w:rPr>
            <w:rStyle w:val="Lienhypertexte"/>
            <w:rFonts w:ascii="Book Antiqua" w:hAnsi="Book Antiqua"/>
            <w:sz w:val="18"/>
            <w:szCs w:val="18"/>
          </w:rPr>
          <w:t>http://www.biep.gouv.fr/common/page/default</w:t>
        </w:r>
      </w:hyperlink>
      <w:bookmarkStart w:id="0" w:name="_GoBack"/>
      <w:bookmarkEnd w:id="0"/>
    </w:p>
    <w:sectPr w:rsidR="00A41186" w:rsidRPr="00735CB5" w:rsidSect="00C56C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86"/>
    <w:rsid w:val="003F5A19"/>
    <w:rsid w:val="00A41186"/>
    <w:rsid w:val="00C56C7B"/>
    <w:rsid w:val="00FF44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9B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ajorEastAsia" w:hAnsi="Times New Roman" w:cs="Times New Roman"/>
        <w:color w:val="000000"/>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86"/>
    <w:pPr>
      <w:spacing w:after="200" w:line="276" w:lineRule="auto"/>
    </w:pPr>
    <w:rPr>
      <w:rFonts w:ascii="Calibri" w:eastAsia="Calibri" w:hAnsi="Calibri"/>
      <w:color w:val="auto"/>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41186"/>
    <w:pPr>
      <w:autoSpaceDE w:val="0"/>
      <w:autoSpaceDN w:val="0"/>
      <w:adjustRightInd w:val="0"/>
    </w:pPr>
    <w:rPr>
      <w:rFonts w:ascii="Book Antiqua" w:eastAsia="Calibri" w:hAnsi="Book Antiqua" w:cs="Book Antiqua"/>
      <w:sz w:val="24"/>
      <w:szCs w:val="24"/>
      <w:lang w:eastAsia="en-US"/>
    </w:rPr>
  </w:style>
  <w:style w:type="character" w:styleId="Lienhypertexte">
    <w:name w:val="Hyperlink"/>
    <w:basedOn w:val="Policepardfaut"/>
    <w:uiPriority w:val="99"/>
    <w:rsid w:val="00A4118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ajorEastAsia" w:hAnsi="Times New Roman" w:cs="Times New Roman"/>
        <w:color w:val="000000"/>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86"/>
    <w:pPr>
      <w:spacing w:after="200" w:line="276" w:lineRule="auto"/>
    </w:pPr>
    <w:rPr>
      <w:rFonts w:ascii="Calibri" w:eastAsia="Calibri" w:hAnsi="Calibri"/>
      <w:color w:val="auto"/>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41186"/>
    <w:pPr>
      <w:autoSpaceDE w:val="0"/>
      <w:autoSpaceDN w:val="0"/>
      <w:adjustRightInd w:val="0"/>
    </w:pPr>
    <w:rPr>
      <w:rFonts w:ascii="Book Antiqua" w:eastAsia="Calibri" w:hAnsi="Book Antiqua" w:cs="Book Antiqua"/>
      <w:sz w:val="24"/>
      <w:szCs w:val="24"/>
      <w:lang w:eastAsia="en-US"/>
    </w:rPr>
  </w:style>
  <w:style w:type="character" w:styleId="Lienhypertexte">
    <w:name w:val="Hyperlink"/>
    <w:basedOn w:val="Policepardfaut"/>
    <w:uiPriority w:val="99"/>
    <w:rsid w:val="00A411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ep.gouv.fr/common/page/defau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2028</Characters>
  <Application>Microsoft Macintosh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Baum</dc:creator>
  <cp:keywords/>
  <dc:description/>
  <cp:lastModifiedBy>Lauren Baum</cp:lastModifiedBy>
  <cp:revision>1</cp:revision>
  <dcterms:created xsi:type="dcterms:W3CDTF">2014-07-17T18:24:00Z</dcterms:created>
  <dcterms:modified xsi:type="dcterms:W3CDTF">2014-07-17T18:24:00Z</dcterms:modified>
</cp:coreProperties>
</file>